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AFC" wp14:editId="088E3AF5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5612130" cy="270344"/>
                <wp:effectExtent l="0" t="0" r="26670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441.9pt;height:2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9eeQIAAFI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3E5A2A92" w14:textId="77777777" w:rsidR="00B44582" w:rsidRPr="009546E7" w:rsidRDefault="00B44582" w:rsidP="00B44582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>
        <w:rPr>
          <w:sz w:val="20"/>
          <w:szCs w:val="20"/>
        </w:rPr>
        <w:t>Producción</w:t>
      </w:r>
      <w:r w:rsidRPr="009546E7">
        <w:rPr>
          <w:sz w:val="20"/>
          <w:szCs w:val="20"/>
        </w:rPr>
        <w:t xml:space="preserve"> a su cargo, los cuales serán integrados en el Informe Anual de Resultados del Comité.</w:t>
      </w:r>
    </w:p>
    <w:p w14:paraId="241FF2EA" w14:textId="77777777" w:rsidR="00B44582" w:rsidRPr="009546E7" w:rsidRDefault="00B44582" w:rsidP="00B44582">
      <w:pPr>
        <w:spacing w:after="0"/>
        <w:jc w:val="both"/>
        <w:rPr>
          <w:sz w:val="20"/>
          <w:szCs w:val="20"/>
        </w:rPr>
      </w:pPr>
    </w:p>
    <w:p w14:paraId="7061E965" w14:textId="28815E11" w:rsidR="00D11184" w:rsidRDefault="00B44582" w:rsidP="00B44582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calidad.</w:t>
      </w:r>
    </w:p>
    <w:p w14:paraId="20F3F704" w14:textId="77777777" w:rsidR="00C26DF7" w:rsidRDefault="00C26DF7" w:rsidP="009546E7">
      <w:pPr>
        <w:spacing w:after="0"/>
        <w:jc w:val="both"/>
        <w:rPr>
          <w:sz w:val="20"/>
          <w:szCs w:val="20"/>
        </w:rPr>
      </w:pP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C6EA" wp14:editId="413CAEA0">
                <wp:simplePos x="0" y="0"/>
                <wp:positionH relativeFrom="margin">
                  <wp:align>right</wp:align>
                </wp:positionH>
                <wp:positionV relativeFrom="paragraph">
                  <wp:posOffset>137850</wp:posOffset>
                </wp:positionV>
                <wp:extent cx="5605670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FC6EA" id="Rectángulo 5" o:spid="_x0000_s1027" style="position:absolute;margin-left:390.2pt;margin-top:10.85pt;width:441.4pt;height:23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12FFDA0E" w14:textId="12ADB8A1" w:rsidR="00E60F03" w:rsidRPr="009546E7" w:rsidRDefault="008E0A78" w:rsidP="00E60F03">
      <w:pPr>
        <w:pStyle w:val="Prrafodelista"/>
        <w:spacing w:after="0"/>
        <w:ind w:left="360"/>
        <w:rPr>
          <w:sz w:val="20"/>
          <w:szCs w:val="20"/>
        </w:rPr>
      </w:pPr>
      <w:r w:rsidRPr="008E0A78">
        <w:rPr>
          <w:sz w:val="20"/>
          <w:szCs w:val="20"/>
        </w:rPr>
        <w:t>Tasa de imputación a nivel unidad de observación.</w:t>
      </w:r>
    </w:p>
    <w:p w14:paraId="27D5E63C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70CF6090" w:rsidR="00E60F03" w:rsidRDefault="00E60F03" w:rsidP="007B774C">
      <w:pPr>
        <w:pStyle w:val="Prrafodelista"/>
        <w:spacing w:after="0"/>
        <w:ind w:left="360"/>
        <w:jc w:val="both"/>
        <w:rPr>
          <w:sz w:val="20"/>
          <w:szCs w:val="20"/>
        </w:rPr>
      </w:pPr>
      <w:r w:rsidRPr="00E60F03">
        <w:rPr>
          <w:sz w:val="20"/>
          <w:szCs w:val="20"/>
        </w:rPr>
        <w:t>Acuerdo CAC- 00</w:t>
      </w:r>
      <w:r w:rsidR="007B774C">
        <w:rPr>
          <w:sz w:val="20"/>
          <w:szCs w:val="20"/>
        </w:rPr>
        <w:t>4</w:t>
      </w:r>
      <w:r w:rsidRPr="00E60F03">
        <w:rPr>
          <w:sz w:val="20"/>
          <w:szCs w:val="20"/>
        </w:rPr>
        <w:t>/0</w:t>
      </w:r>
      <w:r w:rsidR="00C26DF7">
        <w:rPr>
          <w:sz w:val="20"/>
          <w:szCs w:val="20"/>
        </w:rPr>
        <w:t>5</w:t>
      </w:r>
      <w:r w:rsidRPr="00E60F03">
        <w:rPr>
          <w:sz w:val="20"/>
          <w:szCs w:val="20"/>
        </w:rPr>
        <w:t>/20</w:t>
      </w:r>
      <w:r w:rsidR="00C26DF7">
        <w:rPr>
          <w:sz w:val="20"/>
          <w:szCs w:val="20"/>
        </w:rPr>
        <w:t>21</w:t>
      </w:r>
      <w:r w:rsidRPr="00E60F03">
        <w:rPr>
          <w:sz w:val="20"/>
          <w:szCs w:val="20"/>
        </w:rPr>
        <w:t xml:space="preserve"> en la </w:t>
      </w:r>
      <w:r w:rsidR="00C26DF7">
        <w:rPr>
          <w:sz w:val="20"/>
          <w:szCs w:val="20"/>
        </w:rPr>
        <w:t>cuarta</w:t>
      </w:r>
      <w:r w:rsidRPr="00E60F03">
        <w:rPr>
          <w:sz w:val="20"/>
          <w:szCs w:val="20"/>
        </w:rPr>
        <w:t xml:space="preserve"> sesión del 20</w:t>
      </w:r>
      <w:r w:rsidR="00C26DF7">
        <w:rPr>
          <w:sz w:val="20"/>
          <w:szCs w:val="20"/>
        </w:rPr>
        <w:t>21</w:t>
      </w:r>
      <w:r w:rsidRPr="00E60F03">
        <w:rPr>
          <w:sz w:val="20"/>
          <w:szCs w:val="20"/>
        </w:rPr>
        <w:t xml:space="preserve"> del Comité de Aseguramiento de la Calidad.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7566A30A" w14:textId="753717DB" w:rsidR="00C26DF7" w:rsidRDefault="00C26DF7" w:rsidP="00C26DF7">
      <w:pPr>
        <w:pStyle w:val="Prrafodelista"/>
        <w:spacing w:after="0"/>
        <w:ind w:left="360"/>
        <w:jc w:val="both"/>
        <w:rPr>
          <w:sz w:val="20"/>
          <w:szCs w:val="20"/>
        </w:rPr>
      </w:pPr>
      <w:r w:rsidRPr="00C26DF7">
        <w:rPr>
          <w:sz w:val="20"/>
          <w:szCs w:val="20"/>
        </w:rPr>
        <w:t>Se calculará y reportará para todos los pro</w:t>
      </w:r>
      <w:r>
        <w:rPr>
          <w:sz w:val="20"/>
          <w:szCs w:val="20"/>
        </w:rPr>
        <w:t>cesos de producción</w:t>
      </w:r>
      <w:r w:rsidRPr="00C26DF7">
        <w:rPr>
          <w:sz w:val="20"/>
          <w:szCs w:val="20"/>
        </w:rPr>
        <w:t xml:space="preserve"> cuyo método de generación son censos:</w:t>
      </w:r>
    </w:p>
    <w:p w14:paraId="24590EDE" w14:textId="77777777" w:rsidR="00C26DF7" w:rsidRPr="00C26DF7" w:rsidRDefault="00C26DF7" w:rsidP="00C26DF7">
      <w:pPr>
        <w:pStyle w:val="Prrafodelista"/>
        <w:spacing w:after="0"/>
        <w:ind w:left="360"/>
        <w:jc w:val="both"/>
        <w:rPr>
          <w:sz w:val="20"/>
          <w:szCs w:val="20"/>
        </w:rPr>
      </w:pPr>
    </w:p>
    <w:p w14:paraId="7D89A8E5" w14:textId="33DD655C" w:rsidR="00C26DF7" w:rsidRPr="00C26DF7" w:rsidRDefault="00C26DF7" w:rsidP="00C26DF7">
      <w:pPr>
        <w:pStyle w:val="Prrafodelista"/>
        <w:spacing w:after="0"/>
        <w:ind w:left="360"/>
        <w:jc w:val="both"/>
        <w:rPr>
          <w:sz w:val="20"/>
          <w:szCs w:val="20"/>
        </w:rPr>
      </w:pPr>
      <w:r w:rsidRPr="00C26DF7">
        <w:rPr>
          <w:sz w:val="20"/>
          <w:szCs w:val="20"/>
        </w:rPr>
        <w:t xml:space="preserve">a) Se reportará </w:t>
      </w:r>
      <w:proofErr w:type="gramStart"/>
      <w:r w:rsidRPr="00C26DF7">
        <w:rPr>
          <w:sz w:val="20"/>
          <w:szCs w:val="20"/>
        </w:rPr>
        <w:t>de acuerdo al</w:t>
      </w:r>
      <w:proofErr w:type="gramEnd"/>
      <w:r w:rsidRPr="00C26DF7">
        <w:rPr>
          <w:sz w:val="20"/>
          <w:szCs w:val="20"/>
        </w:rPr>
        <w:t xml:space="preserve"> calendario de difusión a partir del siguiente día de su aprobación,</w:t>
      </w:r>
    </w:p>
    <w:p w14:paraId="2521598C" w14:textId="1D298853" w:rsidR="00C26DF7" w:rsidRPr="00C26DF7" w:rsidRDefault="00C26DF7" w:rsidP="00C26DF7">
      <w:pPr>
        <w:pStyle w:val="Prrafodelista"/>
        <w:spacing w:after="0"/>
        <w:ind w:left="360"/>
        <w:jc w:val="both"/>
        <w:rPr>
          <w:sz w:val="20"/>
          <w:szCs w:val="20"/>
        </w:rPr>
      </w:pPr>
      <w:r w:rsidRPr="00C26DF7">
        <w:rPr>
          <w:sz w:val="20"/>
          <w:szCs w:val="20"/>
        </w:rPr>
        <w:t xml:space="preserve">b) </w:t>
      </w:r>
      <w:r>
        <w:rPr>
          <w:sz w:val="20"/>
          <w:szCs w:val="20"/>
        </w:rPr>
        <w:t>E</w:t>
      </w:r>
      <w:r w:rsidRPr="00C26DF7">
        <w:rPr>
          <w:sz w:val="20"/>
          <w:szCs w:val="20"/>
        </w:rPr>
        <w:t xml:space="preserve">l reporte se realizará en metadatos a más tardar a los 30 días naturales contados a partir de la publicación del </w:t>
      </w:r>
      <w:r w:rsidR="00BE40A2">
        <w:rPr>
          <w:sz w:val="20"/>
          <w:szCs w:val="20"/>
        </w:rPr>
        <w:t>p</w:t>
      </w:r>
      <w:r w:rsidRPr="00C26DF7">
        <w:rPr>
          <w:sz w:val="20"/>
          <w:szCs w:val="20"/>
        </w:rPr>
        <w:t>ro</w:t>
      </w:r>
      <w:r>
        <w:rPr>
          <w:sz w:val="20"/>
          <w:szCs w:val="20"/>
        </w:rPr>
        <w:t xml:space="preserve">ceso de </w:t>
      </w:r>
      <w:r w:rsidR="00BE40A2">
        <w:rPr>
          <w:sz w:val="20"/>
          <w:szCs w:val="20"/>
        </w:rPr>
        <w:t>p</w:t>
      </w:r>
      <w:r>
        <w:rPr>
          <w:sz w:val="20"/>
          <w:szCs w:val="20"/>
        </w:rPr>
        <w:t>roducción</w:t>
      </w:r>
      <w:r w:rsidRPr="00C26DF7">
        <w:rPr>
          <w:sz w:val="20"/>
          <w:szCs w:val="20"/>
        </w:rPr>
        <w:t>,</w:t>
      </w:r>
    </w:p>
    <w:p w14:paraId="29F11320" w14:textId="41DC1111" w:rsidR="00E60F03" w:rsidRDefault="00C26DF7" w:rsidP="00C26DF7">
      <w:pPr>
        <w:pStyle w:val="Prrafodelista"/>
        <w:spacing w:after="0"/>
        <w:ind w:left="360"/>
        <w:jc w:val="both"/>
        <w:rPr>
          <w:sz w:val="20"/>
          <w:szCs w:val="20"/>
        </w:rPr>
      </w:pPr>
      <w:r w:rsidRPr="00C26DF7">
        <w:rPr>
          <w:sz w:val="20"/>
          <w:szCs w:val="20"/>
        </w:rPr>
        <w:t xml:space="preserve">c) </w:t>
      </w:r>
      <w:r>
        <w:rPr>
          <w:sz w:val="20"/>
          <w:szCs w:val="20"/>
        </w:rPr>
        <w:t>S</w:t>
      </w:r>
      <w:r w:rsidRPr="00C26DF7">
        <w:rPr>
          <w:sz w:val="20"/>
          <w:szCs w:val="20"/>
        </w:rPr>
        <w:t>e deberá usar el formato definido por el Grupo de Trabajo.</w:t>
      </w:r>
    </w:p>
    <w:p w14:paraId="5F523C96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786870DF" w:rsidR="00E60F03" w:rsidRDefault="007B774C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Veracidad (precisión y confiabilidad)</w:t>
      </w:r>
      <w:r w:rsidR="00E60F03" w:rsidRPr="00E60F03">
        <w:rPr>
          <w:sz w:val="20"/>
          <w:szCs w:val="20"/>
        </w:rPr>
        <w:t xml:space="preserve"> 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2B025366" w14:textId="77777777" w:rsidR="005679BC" w:rsidRPr="005679BC" w:rsidRDefault="005679BC" w:rsidP="005679BC">
      <w:pPr>
        <w:pStyle w:val="Prrafodelista"/>
        <w:spacing w:after="0"/>
        <w:ind w:left="360"/>
        <w:jc w:val="both"/>
        <w:rPr>
          <w:sz w:val="20"/>
          <w:szCs w:val="20"/>
        </w:rPr>
      </w:pPr>
      <w:r w:rsidRPr="005679BC">
        <w:rPr>
          <w:sz w:val="20"/>
          <w:szCs w:val="20"/>
        </w:rPr>
        <w:t>El uso del indicador es interno. Sirve para la planeación de tareas operativas que permitan dar tratamiento especial a las unidades de observación cuya captación es preponderante. La tasa de imputación se debe reportar a diferentes niveles de desagregación.</w:t>
      </w:r>
    </w:p>
    <w:p w14:paraId="134627A8" w14:textId="77777777" w:rsidR="005679BC" w:rsidRPr="005679BC" w:rsidRDefault="005679BC" w:rsidP="005679BC">
      <w:pPr>
        <w:pStyle w:val="Prrafodelista"/>
        <w:spacing w:after="0"/>
        <w:ind w:left="360"/>
        <w:rPr>
          <w:sz w:val="20"/>
          <w:szCs w:val="20"/>
        </w:rPr>
      </w:pPr>
    </w:p>
    <w:p w14:paraId="0AA08F63" w14:textId="1BBA9AA5" w:rsidR="009935FA" w:rsidRDefault="005679BC" w:rsidP="005679BC">
      <w:pPr>
        <w:pStyle w:val="Prrafodelista"/>
        <w:spacing w:after="0"/>
        <w:ind w:left="360"/>
        <w:rPr>
          <w:b/>
          <w:bCs/>
          <w:sz w:val="20"/>
          <w:szCs w:val="20"/>
        </w:rPr>
      </w:pPr>
      <w:r w:rsidRPr="005679BC">
        <w:rPr>
          <w:sz w:val="20"/>
          <w:szCs w:val="20"/>
        </w:rPr>
        <w:t>Se propone que en un principio este indicador sólo sea de uso interno.</w:t>
      </w:r>
    </w:p>
    <w:p w14:paraId="577077BC" w14:textId="77777777" w:rsidR="009935FA" w:rsidRDefault="009935FA" w:rsidP="009935FA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27131C16" w14:textId="6F65DEA5" w:rsidR="00E60F03" w:rsidRDefault="00E60F03" w:rsidP="005679BC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Fuentes de la metodología y/o estándares utilizados en el cálculo del indicador:</w:t>
      </w:r>
    </w:p>
    <w:p w14:paraId="551C97CC" w14:textId="571A1652" w:rsidR="00335E4E" w:rsidRDefault="00C26DF7" w:rsidP="00D8261D">
      <w:pPr>
        <w:pStyle w:val="Prrafodelista"/>
        <w:numPr>
          <w:ilvl w:val="0"/>
          <w:numId w:val="10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Eurostat</w:t>
      </w:r>
      <w:r w:rsidR="009935F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26DF7">
        <w:rPr>
          <w:sz w:val="20"/>
          <w:szCs w:val="20"/>
        </w:rPr>
        <w:t>ESS handbook for quality reports. 2014. Página 12</w:t>
      </w:r>
      <w:r w:rsidR="005679BC">
        <w:rPr>
          <w:sz w:val="20"/>
          <w:szCs w:val="20"/>
        </w:rPr>
        <w:t>8</w:t>
      </w:r>
      <w:r w:rsidRPr="00C26DF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7907F463" w14:textId="007A7021" w:rsidR="00C26DF7" w:rsidRPr="005679BC" w:rsidRDefault="005679BC" w:rsidP="00D8261D">
      <w:pPr>
        <w:pStyle w:val="Prrafodelista"/>
        <w:spacing w:after="0"/>
        <w:ind w:left="709"/>
        <w:rPr>
          <w:rStyle w:val="Hipervnculo"/>
        </w:rPr>
      </w:pPr>
      <w:hyperlink r:id="rId5" w:history="1">
        <w:r w:rsidRPr="005679BC">
          <w:rPr>
            <w:rStyle w:val="Hipervnculo"/>
            <w:sz w:val="20"/>
            <w:szCs w:val="20"/>
          </w:rPr>
          <w:t>http://ec.europa.eu/eurostat/documents/3859598/6651706/KS-GQ-15-003-EN-N.pdf</w:t>
        </w:r>
      </w:hyperlink>
      <w:r w:rsidRPr="005679BC">
        <w:rPr>
          <w:rStyle w:val="Hipervnculo"/>
          <w:sz w:val="20"/>
          <w:szCs w:val="20"/>
        </w:rPr>
        <w:t xml:space="preserve"> </w:t>
      </w:r>
    </w:p>
    <w:p w14:paraId="0F0DD2D4" w14:textId="25501273" w:rsidR="009935FA" w:rsidRPr="005679BC" w:rsidRDefault="005679BC" w:rsidP="00A47194">
      <w:pPr>
        <w:pStyle w:val="Prrafodelista"/>
        <w:numPr>
          <w:ilvl w:val="0"/>
          <w:numId w:val="10"/>
        </w:numPr>
        <w:spacing w:after="0"/>
        <w:ind w:left="709"/>
        <w:jc w:val="both"/>
        <w:rPr>
          <w:sz w:val="20"/>
          <w:szCs w:val="20"/>
        </w:rPr>
      </w:pPr>
      <w:r w:rsidRPr="005679BC">
        <w:rPr>
          <w:sz w:val="20"/>
          <w:szCs w:val="20"/>
        </w:rPr>
        <w:t>Office for National Statistics, UK. Guidelines for Measuring</w:t>
      </w:r>
      <w:r>
        <w:rPr>
          <w:sz w:val="20"/>
          <w:szCs w:val="20"/>
        </w:rPr>
        <w:t xml:space="preserve"> </w:t>
      </w:r>
      <w:r w:rsidRPr="005679BC">
        <w:rPr>
          <w:sz w:val="20"/>
          <w:szCs w:val="20"/>
        </w:rPr>
        <w:t>Statistical Output Quality. 2013. Página 37.</w:t>
      </w:r>
    </w:p>
    <w:p w14:paraId="1D2E2EF3" w14:textId="1DF7081C" w:rsidR="005679BC" w:rsidRPr="005679BC" w:rsidRDefault="005679BC" w:rsidP="00D8261D">
      <w:pPr>
        <w:pStyle w:val="Prrafodelista"/>
        <w:spacing w:after="0"/>
        <w:ind w:left="709"/>
        <w:rPr>
          <w:rStyle w:val="Hipervnculo"/>
          <w:sz w:val="20"/>
          <w:szCs w:val="20"/>
        </w:rPr>
      </w:pPr>
      <w:r w:rsidRPr="005679BC">
        <w:rPr>
          <w:rStyle w:val="Hipervnculo"/>
          <w:sz w:val="20"/>
          <w:szCs w:val="20"/>
        </w:rPr>
        <w:t>https://www.statisticsauthority.gov.uk/wpcontent/uploads/2017/01/Guidelines‐for‐</w:t>
      </w:r>
    </w:p>
    <w:p w14:paraId="4BBA3CC4" w14:textId="0FCBE870" w:rsidR="00C26DF7" w:rsidRDefault="005679BC" w:rsidP="00D8261D">
      <w:pPr>
        <w:pStyle w:val="Prrafodelista"/>
        <w:spacing w:after="0"/>
        <w:ind w:left="709"/>
        <w:rPr>
          <w:sz w:val="20"/>
          <w:szCs w:val="20"/>
        </w:rPr>
      </w:pPr>
      <w:r w:rsidRPr="005679BC">
        <w:rPr>
          <w:rStyle w:val="Hipervnculo"/>
          <w:sz w:val="20"/>
          <w:szCs w:val="20"/>
        </w:rPr>
        <w:t>Measuring‐Statistical‐Outputs‐Quality.pdf</w:t>
      </w:r>
      <w:r w:rsidR="00C26DF7" w:rsidRPr="005679BC">
        <w:rPr>
          <w:rStyle w:val="Hipervnculo"/>
        </w:rPr>
        <w:t xml:space="preserve"> </w:t>
      </w:r>
    </w:p>
    <w:p w14:paraId="5A86C7CE" w14:textId="6F563594" w:rsidR="009935FA" w:rsidRDefault="00C26DF7" w:rsidP="00A47194">
      <w:pPr>
        <w:pStyle w:val="Prrafodelista"/>
        <w:numPr>
          <w:ilvl w:val="0"/>
          <w:numId w:val="10"/>
        </w:numPr>
        <w:spacing w:after="0"/>
        <w:ind w:left="709"/>
        <w:jc w:val="both"/>
        <w:rPr>
          <w:sz w:val="20"/>
          <w:szCs w:val="20"/>
        </w:rPr>
      </w:pPr>
      <w:r w:rsidRPr="00C26DF7">
        <w:rPr>
          <w:sz w:val="20"/>
          <w:szCs w:val="20"/>
        </w:rPr>
        <w:lastRenderedPageBreak/>
        <w:t>United Nations Economic Commission for Europe (UNECE)</w:t>
      </w:r>
      <w:r w:rsidR="009935FA" w:rsidRPr="00C26DF7">
        <w:rPr>
          <w:sz w:val="20"/>
          <w:szCs w:val="20"/>
        </w:rPr>
        <w:t>.</w:t>
      </w:r>
      <w:r w:rsidRPr="00C26DF7">
        <w:rPr>
          <w:sz w:val="20"/>
          <w:szCs w:val="20"/>
        </w:rPr>
        <w:t xml:space="preserve"> Quality Indicators for the Generic Statistical Business</w:t>
      </w:r>
      <w:r>
        <w:rPr>
          <w:sz w:val="20"/>
          <w:szCs w:val="20"/>
        </w:rPr>
        <w:t xml:space="preserve">. </w:t>
      </w:r>
      <w:r w:rsidRPr="00C26DF7">
        <w:rPr>
          <w:sz w:val="20"/>
          <w:szCs w:val="20"/>
        </w:rPr>
        <w:t>Process Model (GSBPM) - For Statistics derived from Surveys and Administrative Data Sources. 2017.</w:t>
      </w:r>
      <w:r w:rsidR="005679BC">
        <w:rPr>
          <w:sz w:val="20"/>
          <w:szCs w:val="20"/>
        </w:rPr>
        <w:t xml:space="preserve"> Páginas 34 y 59.</w:t>
      </w:r>
    </w:p>
    <w:p w14:paraId="3535B74E" w14:textId="13E99BCE" w:rsidR="00C26DF7" w:rsidRPr="005679BC" w:rsidRDefault="005679BC" w:rsidP="00D8261D">
      <w:pPr>
        <w:pStyle w:val="Prrafodelista"/>
        <w:spacing w:after="0"/>
        <w:ind w:left="709"/>
        <w:rPr>
          <w:rStyle w:val="Hipervnculo"/>
        </w:rPr>
      </w:pPr>
      <w:hyperlink r:id="rId6" w:history="1">
        <w:r w:rsidRPr="005679BC">
          <w:rPr>
            <w:rStyle w:val="Hipervnculo"/>
            <w:sz w:val="20"/>
            <w:szCs w:val="20"/>
          </w:rPr>
          <w:t>https://statswiki.unece.org/download/attachments/185794796/Quality%20Indicators%20for%20the%20GSBPM%20-%20For%20Statistics%20derived%20from%20Surveys%20and%20Administrative%20Data%20Sources_Final.pdf?api=v2</w:t>
        </w:r>
      </w:hyperlink>
      <w:r w:rsidRPr="005679BC">
        <w:rPr>
          <w:rStyle w:val="Hipervnculo"/>
          <w:sz w:val="20"/>
          <w:szCs w:val="20"/>
        </w:rPr>
        <w:t xml:space="preserve"> </w:t>
      </w:r>
      <w:r w:rsidR="00220DB0" w:rsidRPr="005679BC">
        <w:rPr>
          <w:rStyle w:val="Hipervnculo"/>
        </w:rPr>
        <w:t xml:space="preserve"> </w:t>
      </w:r>
    </w:p>
    <w:p w14:paraId="60287DBB" w14:textId="018C65B6" w:rsidR="00C26DF7" w:rsidRPr="005679BC" w:rsidRDefault="005679BC" w:rsidP="00A47194">
      <w:pPr>
        <w:pStyle w:val="Prrafodelista"/>
        <w:numPr>
          <w:ilvl w:val="0"/>
          <w:numId w:val="10"/>
        </w:numPr>
        <w:spacing w:after="0"/>
        <w:ind w:left="709"/>
        <w:jc w:val="both"/>
        <w:rPr>
          <w:sz w:val="20"/>
          <w:szCs w:val="20"/>
        </w:rPr>
      </w:pPr>
      <w:r w:rsidRPr="005679BC">
        <w:rPr>
          <w:sz w:val="20"/>
          <w:szCs w:val="20"/>
        </w:rPr>
        <w:t>United Nations Statistics Division</w:t>
      </w:r>
      <w:r w:rsidR="00220DB0" w:rsidRPr="005679BC">
        <w:rPr>
          <w:sz w:val="20"/>
          <w:szCs w:val="20"/>
        </w:rPr>
        <w:t>.</w:t>
      </w:r>
      <w:r w:rsidRPr="005679BC">
        <w:rPr>
          <w:sz w:val="20"/>
          <w:szCs w:val="20"/>
        </w:rPr>
        <w:t xml:space="preserve"> Handbook on Population and Housing Census Editing Revision 2. Página 27</w:t>
      </w:r>
      <w:r w:rsidR="00220DB0" w:rsidRPr="005679BC">
        <w:rPr>
          <w:sz w:val="20"/>
          <w:szCs w:val="20"/>
        </w:rPr>
        <w:t xml:space="preserve"> </w:t>
      </w:r>
    </w:p>
    <w:p w14:paraId="05CA25CB" w14:textId="0E2C4ACD" w:rsidR="00220DB0" w:rsidRPr="005679BC" w:rsidRDefault="005679BC" w:rsidP="00D8261D">
      <w:pPr>
        <w:pStyle w:val="Prrafodelista"/>
        <w:spacing w:after="0"/>
        <w:ind w:left="709"/>
        <w:rPr>
          <w:rStyle w:val="Hipervnculo"/>
        </w:rPr>
      </w:pPr>
      <w:hyperlink r:id="rId7" w:history="1">
        <w:r w:rsidRPr="005679BC">
          <w:rPr>
            <w:rStyle w:val="Hipervnculo"/>
            <w:sz w:val="20"/>
            <w:szCs w:val="20"/>
          </w:rPr>
          <w:t>https://unstats.un.org/unsd/publication/SeriesF/seriesf_82rev2e.pdf</w:t>
        </w:r>
      </w:hyperlink>
      <w:r w:rsidRPr="005679BC">
        <w:rPr>
          <w:rStyle w:val="Hipervnculo"/>
          <w:sz w:val="20"/>
          <w:szCs w:val="20"/>
        </w:rPr>
        <w:t xml:space="preserve"> </w:t>
      </w:r>
      <w:r w:rsidR="00220DB0" w:rsidRPr="005679BC">
        <w:rPr>
          <w:rStyle w:val="Hipervnculo"/>
        </w:rPr>
        <w:t xml:space="preserve"> </w:t>
      </w:r>
    </w:p>
    <w:p w14:paraId="56733572" w14:textId="77777777" w:rsidR="00C26DF7" w:rsidRPr="00C26DF7" w:rsidRDefault="00C26DF7" w:rsidP="00C26DF7">
      <w:pPr>
        <w:pStyle w:val="Prrafodelista"/>
        <w:spacing w:after="0"/>
        <w:ind w:left="1080"/>
        <w:rPr>
          <w:sz w:val="20"/>
          <w:szCs w:val="20"/>
        </w:rPr>
      </w:pPr>
    </w:p>
    <w:p w14:paraId="3407AC9B" w14:textId="77777777" w:rsidR="009935FA" w:rsidRPr="00E60F03" w:rsidRDefault="009935FA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673D5C7E" w:rsidR="00E60F03" w:rsidRDefault="002138D4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Persona(s) participante(s)</w:t>
      </w:r>
      <w:r w:rsidR="00E60F03">
        <w:rPr>
          <w:b/>
          <w:bCs/>
          <w:sz w:val="20"/>
          <w:szCs w:val="20"/>
        </w:rPr>
        <w:t xml:space="preserve"> en la integración de</w:t>
      </w:r>
      <w:r w:rsidR="00D42E7D">
        <w:rPr>
          <w:b/>
          <w:bCs/>
          <w:sz w:val="20"/>
          <w:szCs w:val="20"/>
        </w:rPr>
        <w:t xml:space="preserve"> la ficha del indicador</w:t>
      </w:r>
      <w:r w:rsidR="00E60F03">
        <w:rPr>
          <w:b/>
          <w:bCs/>
          <w:sz w:val="20"/>
          <w:szCs w:val="20"/>
        </w:rPr>
        <w:t>:</w:t>
      </w:r>
    </w:p>
    <w:p w14:paraId="2E409AF4" w14:textId="652767DF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Unidad Administrativa o Grupo de </w:t>
      </w:r>
      <w:proofErr w:type="gramStart"/>
      <w:r>
        <w:rPr>
          <w:b/>
          <w:bCs/>
          <w:sz w:val="20"/>
          <w:szCs w:val="20"/>
        </w:rPr>
        <w:t>trabajo.-</w:t>
      </w:r>
      <w:proofErr w:type="gramEnd"/>
      <w:r>
        <w:rPr>
          <w:b/>
          <w:bCs/>
          <w:sz w:val="20"/>
          <w:szCs w:val="20"/>
        </w:rPr>
        <w:t xml:space="preserve"> </w:t>
      </w:r>
      <w:r w:rsidR="00A50F8D" w:rsidRPr="00A50F8D">
        <w:rPr>
          <w:sz w:val="20"/>
          <w:szCs w:val="20"/>
        </w:rPr>
        <w:t xml:space="preserve">Grupo de trabajo para la definición de indicadores de precisión para </w:t>
      </w:r>
      <w:r w:rsidR="00220DB0">
        <w:rPr>
          <w:sz w:val="20"/>
          <w:szCs w:val="20"/>
        </w:rPr>
        <w:t>censos</w:t>
      </w:r>
      <w:r w:rsidRPr="00A50F8D">
        <w:rPr>
          <w:sz w:val="20"/>
          <w:szCs w:val="20"/>
        </w:rPr>
        <w:t>.</w:t>
      </w:r>
    </w:p>
    <w:p w14:paraId="27212629" w14:textId="71D92EEB" w:rsidR="00464252" w:rsidRPr="00464252" w:rsidRDefault="00220DB0" w:rsidP="00A50F8D">
      <w:pPr>
        <w:pStyle w:val="Prrafodelista"/>
        <w:spacing w:after="0"/>
        <w:ind w:left="360"/>
        <w:rPr>
          <w:sz w:val="20"/>
          <w:szCs w:val="20"/>
        </w:rPr>
      </w:pPr>
      <w:r w:rsidRPr="00220DB0">
        <w:rPr>
          <w:sz w:val="20"/>
          <w:szCs w:val="20"/>
        </w:rPr>
        <w:t>Nuria Torroja Mateu</w:t>
      </w:r>
      <w:r w:rsidR="00464252" w:rsidRPr="00464252">
        <w:rPr>
          <w:sz w:val="20"/>
          <w:szCs w:val="20"/>
        </w:rPr>
        <w:t xml:space="preserve">, </w:t>
      </w:r>
      <w:r>
        <w:rPr>
          <w:sz w:val="20"/>
          <w:szCs w:val="20"/>
        </w:rPr>
        <w:t>d</w:t>
      </w:r>
      <w:r w:rsidRPr="00220DB0">
        <w:rPr>
          <w:sz w:val="20"/>
          <w:szCs w:val="20"/>
        </w:rPr>
        <w:t>irectora de Aseguramiento de la Calidad</w:t>
      </w:r>
      <w:r w:rsidR="00464252" w:rsidRPr="00464252">
        <w:rPr>
          <w:sz w:val="20"/>
          <w:szCs w:val="20"/>
        </w:rPr>
        <w:t>.</w:t>
      </w:r>
      <w:r>
        <w:rPr>
          <w:sz w:val="20"/>
          <w:szCs w:val="20"/>
        </w:rPr>
        <w:t xml:space="preserve"> DGIAI.</w:t>
      </w:r>
    </w:p>
    <w:p w14:paraId="5B913E5D" w14:textId="77777777" w:rsidR="00D8261D" w:rsidRDefault="00D8261D" w:rsidP="00D8261D">
      <w:pPr>
        <w:pStyle w:val="Prrafodelista"/>
        <w:spacing w:after="0"/>
        <w:ind w:left="360"/>
        <w:rPr>
          <w:sz w:val="20"/>
          <w:szCs w:val="20"/>
        </w:rPr>
      </w:pPr>
      <w:proofErr w:type="spellStart"/>
      <w:r w:rsidRPr="00220DB0">
        <w:rPr>
          <w:sz w:val="20"/>
          <w:szCs w:val="20"/>
        </w:rPr>
        <w:t>Carole</w:t>
      </w:r>
      <w:proofErr w:type="spellEnd"/>
      <w:r w:rsidRPr="00220DB0">
        <w:rPr>
          <w:sz w:val="20"/>
          <w:szCs w:val="20"/>
        </w:rPr>
        <w:t xml:space="preserve"> Odette Schmitz </w:t>
      </w:r>
      <w:proofErr w:type="spellStart"/>
      <w:r w:rsidRPr="00220DB0">
        <w:rPr>
          <w:sz w:val="20"/>
          <w:szCs w:val="20"/>
        </w:rPr>
        <w:t>Basañez</w:t>
      </w:r>
      <w:proofErr w:type="spellEnd"/>
      <w:r>
        <w:rPr>
          <w:sz w:val="20"/>
          <w:szCs w:val="20"/>
        </w:rPr>
        <w:t>, d</w:t>
      </w:r>
      <w:r w:rsidRPr="00220DB0">
        <w:rPr>
          <w:sz w:val="20"/>
          <w:szCs w:val="20"/>
        </w:rPr>
        <w:t xml:space="preserve">irectora </w:t>
      </w:r>
      <w:r>
        <w:rPr>
          <w:sz w:val="20"/>
          <w:szCs w:val="20"/>
        </w:rPr>
        <w:t>g</w:t>
      </w:r>
      <w:r w:rsidRPr="00220DB0">
        <w:rPr>
          <w:sz w:val="20"/>
          <w:szCs w:val="20"/>
        </w:rPr>
        <w:t xml:space="preserve">eneral </w:t>
      </w:r>
      <w:r>
        <w:rPr>
          <w:sz w:val="20"/>
          <w:szCs w:val="20"/>
        </w:rPr>
        <w:t>a</w:t>
      </w:r>
      <w:r w:rsidRPr="00220DB0">
        <w:rPr>
          <w:sz w:val="20"/>
          <w:szCs w:val="20"/>
        </w:rPr>
        <w:t>djunta del Censo de Población y Vivienda</w:t>
      </w:r>
      <w:r w:rsidRPr="00464252">
        <w:rPr>
          <w:sz w:val="20"/>
          <w:szCs w:val="20"/>
        </w:rPr>
        <w:t>.</w:t>
      </w:r>
      <w:r>
        <w:rPr>
          <w:sz w:val="20"/>
          <w:szCs w:val="20"/>
        </w:rPr>
        <w:t xml:space="preserve"> DGES.</w:t>
      </w:r>
    </w:p>
    <w:p w14:paraId="551E4801" w14:textId="77777777" w:rsidR="00D8261D" w:rsidRDefault="00D8261D" w:rsidP="00D8261D">
      <w:pPr>
        <w:pStyle w:val="Prrafodelista"/>
        <w:spacing w:after="0"/>
        <w:ind w:left="360"/>
        <w:rPr>
          <w:sz w:val="20"/>
          <w:szCs w:val="20"/>
        </w:rPr>
      </w:pPr>
      <w:r w:rsidRPr="00220DB0">
        <w:rPr>
          <w:sz w:val="20"/>
          <w:szCs w:val="20"/>
        </w:rPr>
        <w:t>Susana Patricia P</w:t>
      </w:r>
      <w:r>
        <w:rPr>
          <w:sz w:val="20"/>
          <w:szCs w:val="20"/>
        </w:rPr>
        <w:t>é</w:t>
      </w:r>
      <w:r w:rsidRPr="00220DB0">
        <w:rPr>
          <w:sz w:val="20"/>
          <w:szCs w:val="20"/>
        </w:rPr>
        <w:t>r</w:t>
      </w:r>
      <w:r>
        <w:rPr>
          <w:sz w:val="20"/>
          <w:szCs w:val="20"/>
        </w:rPr>
        <w:t>e</w:t>
      </w:r>
      <w:r w:rsidRPr="00220DB0">
        <w:rPr>
          <w:sz w:val="20"/>
          <w:szCs w:val="20"/>
        </w:rPr>
        <w:t>z Cadena</w:t>
      </w:r>
      <w:r>
        <w:rPr>
          <w:sz w:val="20"/>
          <w:szCs w:val="20"/>
        </w:rPr>
        <w:t>, d</w:t>
      </w:r>
      <w:r w:rsidRPr="00220DB0">
        <w:rPr>
          <w:sz w:val="20"/>
          <w:szCs w:val="20"/>
        </w:rPr>
        <w:t xml:space="preserve">irectora </w:t>
      </w:r>
      <w:r>
        <w:rPr>
          <w:sz w:val="20"/>
          <w:szCs w:val="20"/>
        </w:rPr>
        <w:t>g</w:t>
      </w:r>
      <w:r w:rsidRPr="00220DB0">
        <w:rPr>
          <w:sz w:val="20"/>
          <w:szCs w:val="20"/>
        </w:rPr>
        <w:t xml:space="preserve">eneral </w:t>
      </w:r>
      <w:r>
        <w:rPr>
          <w:sz w:val="20"/>
          <w:szCs w:val="20"/>
        </w:rPr>
        <w:t>a</w:t>
      </w:r>
      <w:r w:rsidRPr="00220DB0">
        <w:rPr>
          <w:sz w:val="20"/>
          <w:szCs w:val="20"/>
        </w:rPr>
        <w:t>djunta de Censos Económicos y Agropecuar</w:t>
      </w:r>
      <w:r>
        <w:rPr>
          <w:sz w:val="20"/>
          <w:szCs w:val="20"/>
        </w:rPr>
        <w:t>i</w:t>
      </w:r>
      <w:r w:rsidRPr="00220DB0">
        <w:rPr>
          <w:sz w:val="20"/>
          <w:szCs w:val="20"/>
        </w:rPr>
        <w:t>os</w:t>
      </w:r>
      <w:r>
        <w:rPr>
          <w:sz w:val="20"/>
          <w:szCs w:val="20"/>
        </w:rPr>
        <w:t>. DGEE.</w:t>
      </w:r>
    </w:p>
    <w:p w14:paraId="7B14A60C" w14:textId="77777777" w:rsidR="00D8261D" w:rsidRDefault="00D8261D" w:rsidP="00D8261D">
      <w:pPr>
        <w:pStyle w:val="Prrafodelista"/>
        <w:spacing w:after="0"/>
        <w:ind w:left="360"/>
        <w:rPr>
          <w:sz w:val="20"/>
          <w:szCs w:val="20"/>
        </w:rPr>
      </w:pPr>
      <w:r w:rsidRPr="00220DB0">
        <w:rPr>
          <w:sz w:val="20"/>
          <w:szCs w:val="20"/>
        </w:rPr>
        <w:t xml:space="preserve">José Guillermo Castillo </w:t>
      </w:r>
      <w:proofErr w:type="spellStart"/>
      <w:r w:rsidRPr="00220DB0">
        <w:rPr>
          <w:sz w:val="20"/>
          <w:szCs w:val="20"/>
        </w:rPr>
        <w:t>Koschnick</w:t>
      </w:r>
      <w:proofErr w:type="spellEnd"/>
      <w:r>
        <w:rPr>
          <w:sz w:val="20"/>
          <w:szCs w:val="20"/>
        </w:rPr>
        <w:t>, d</w:t>
      </w:r>
      <w:r w:rsidRPr="00220DB0">
        <w:rPr>
          <w:sz w:val="20"/>
          <w:szCs w:val="20"/>
        </w:rPr>
        <w:t xml:space="preserve">irector </w:t>
      </w:r>
      <w:r>
        <w:rPr>
          <w:sz w:val="20"/>
          <w:szCs w:val="20"/>
        </w:rPr>
        <w:t>g</w:t>
      </w:r>
      <w:r w:rsidRPr="00220DB0">
        <w:rPr>
          <w:sz w:val="20"/>
          <w:szCs w:val="20"/>
        </w:rPr>
        <w:t xml:space="preserve">eneral </w:t>
      </w:r>
      <w:r>
        <w:rPr>
          <w:sz w:val="20"/>
          <w:szCs w:val="20"/>
        </w:rPr>
        <w:t>a</w:t>
      </w:r>
      <w:r w:rsidRPr="00220DB0">
        <w:rPr>
          <w:sz w:val="20"/>
          <w:szCs w:val="20"/>
        </w:rPr>
        <w:t>djunto de Políticas y Censos Nacionales de Gobierno</w:t>
      </w:r>
      <w:r>
        <w:rPr>
          <w:sz w:val="20"/>
          <w:szCs w:val="20"/>
        </w:rPr>
        <w:t xml:space="preserve">. </w:t>
      </w:r>
      <w:proofErr w:type="spellStart"/>
      <w:r w:rsidRPr="00723301">
        <w:rPr>
          <w:sz w:val="20"/>
          <w:szCs w:val="20"/>
        </w:rPr>
        <w:t>DGEGSPyJ</w:t>
      </w:r>
      <w:proofErr w:type="spellEnd"/>
      <w:r>
        <w:rPr>
          <w:sz w:val="20"/>
          <w:szCs w:val="20"/>
        </w:rPr>
        <w:t>.</w:t>
      </w:r>
    </w:p>
    <w:p w14:paraId="70B001BA" w14:textId="5D8A7A35" w:rsidR="00464252" w:rsidRPr="00464252" w:rsidRDefault="00220DB0" w:rsidP="00E60F03">
      <w:pPr>
        <w:pStyle w:val="Prrafodelista"/>
        <w:spacing w:after="0"/>
        <w:ind w:left="360"/>
        <w:rPr>
          <w:sz w:val="20"/>
          <w:szCs w:val="20"/>
        </w:rPr>
      </w:pPr>
      <w:r w:rsidRPr="00220DB0">
        <w:rPr>
          <w:sz w:val="20"/>
          <w:szCs w:val="20"/>
        </w:rPr>
        <w:t>Gerardo Barragán Romero</w:t>
      </w:r>
      <w:r w:rsidR="00464252" w:rsidRPr="00464252">
        <w:rPr>
          <w:sz w:val="20"/>
          <w:szCs w:val="20"/>
        </w:rPr>
        <w:t xml:space="preserve">, </w:t>
      </w:r>
      <w:r>
        <w:rPr>
          <w:sz w:val="20"/>
          <w:szCs w:val="20"/>
        </w:rPr>
        <w:t>s</w:t>
      </w:r>
      <w:r w:rsidRPr="00220DB0">
        <w:rPr>
          <w:sz w:val="20"/>
          <w:szCs w:val="20"/>
        </w:rPr>
        <w:t>ubdirector de evaluación de la calidad</w:t>
      </w:r>
      <w:r w:rsidR="00464252" w:rsidRPr="00464252">
        <w:rPr>
          <w:sz w:val="20"/>
          <w:szCs w:val="20"/>
        </w:rPr>
        <w:t>.</w:t>
      </w:r>
      <w:r>
        <w:rPr>
          <w:sz w:val="20"/>
          <w:szCs w:val="20"/>
        </w:rPr>
        <w:t xml:space="preserve"> DGIAI.</w:t>
      </w:r>
    </w:p>
    <w:p w14:paraId="1457BF2B" w14:textId="77777777" w:rsidR="00723301" w:rsidRDefault="00723301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Medios de difusión:</w:t>
      </w:r>
    </w:p>
    <w:p w14:paraId="4E184C82" w14:textId="7AEF95B8" w:rsidR="00723301" w:rsidRPr="00A47194" w:rsidRDefault="00AC701E" w:rsidP="00100E12">
      <w:pPr>
        <w:pStyle w:val="Prrafodelista"/>
        <w:spacing w:after="0"/>
        <w:ind w:left="360"/>
        <w:rPr>
          <w:sz w:val="20"/>
          <w:szCs w:val="20"/>
        </w:rPr>
      </w:pPr>
      <w:r w:rsidRPr="00A47194">
        <w:rPr>
          <w:sz w:val="20"/>
          <w:szCs w:val="20"/>
        </w:rPr>
        <w:t>Indicador interno</w:t>
      </w:r>
      <w:r w:rsidR="00723301" w:rsidRPr="00A47194">
        <w:rPr>
          <w:sz w:val="20"/>
          <w:szCs w:val="20"/>
        </w:rPr>
        <w:t xml:space="preserve"> (por el momento)</w:t>
      </w:r>
    </w:p>
    <w:p w14:paraId="58D7AE61" w14:textId="77777777" w:rsidR="00723301" w:rsidRPr="00A47194" w:rsidRDefault="00723301" w:rsidP="00100E12">
      <w:pPr>
        <w:pStyle w:val="Prrafodelista"/>
        <w:spacing w:after="0"/>
        <w:ind w:left="360"/>
        <w:rPr>
          <w:sz w:val="20"/>
          <w:szCs w:val="20"/>
        </w:rPr>
      </w:pPr>
      <w:r w:rsidRPr="00C41186">
        <w:rPr>
          <w:sz w:val="20"/>
          <w:szCs w:val="20"/>
          <w:u w:val="single"/>
        </w:rPr>
        <w:t>Red Nacional de Metadatos</w:t>
      </w:r>
      <w:r w:rsidRPr="00A47194">
        <w:rPr>
          <w:sz w:val="20"/>
          <w:szCs w:val="20"/>
        </w:rPr>
        <w:t>.</w:t>
      </w:r>
    </w:p>
    <w:p w14:paraId="459AF3E2" w14:textId="01B907C2" w:rsidR="00100E12" w:rsidRPr="00A47194" w:rsidRDefault="00723301" w:rsidP="00100E12">
      <w:pPr>
        <w:pStyle w:val="Prrafodelista"/>
        <w:spacing w:after="0"/>
        <w:ind w:left="360"/>
        <w:rPr>
          <w:sz w:val="20"/>
          <w:szCs w:val="20"/>
        </w:rPr>
      </w:pPr>
      <w:r w:rsidRPr="00A47194">
        <w:rPr>
          <w:sz w:val="20"/>
          <w:szCs w:val="20"/>
        </w:rPr>
        <w:t xml:space="preserve">Interno. Sitio del Comité de Aseguramiento de la Calidad, </w:t>
      </w:r>
      <w:r w:rsidRPr="00A47194">
        <w:rPr>
          <w:sz w:val="20"/>
          <w:szCs w:val="20"/>
          <w:u w:val="single"/>
        </w:rPr>
        <w:t>Informe de Resultados del Comité de Aseguramiento de la Calidad</w:t>
      </w:r>
      <w:r w:rsidR="00DF5B40" w:rsidRPr="00A47194">
        <w:rPr>
          <w:sz w:val="20"/>
          <w:szCs w:val="20"/>
        </w:rPr>
        <w:t>.</w:t>
      </w:r>
    </w:p>
    <w:p w14:paraId="5B32A51F" w14:textId="7A5FFABF" w:rsidR="00723301" w:rsidRDefault="00723301" w:rsidP="00100E12">
      <w:pPr>
        <w:pStyle w:val="Prrafodelista"/>
        <w:spacing w:after="0"/>
        <w:ind w:left="360"/>
        <w:rPr>
          <w:sz w:val="20"/>
          <w:szCs w:val="20"/>
        </w:rPr>
      </w:pPr>
      <w:r w:rsidRPr="00A47194">
        <w:rPr>
          <w:sz w:val="20"/>
          <w:szCs w:val="20"/>
        </w:rPr>
        <w:t xml:space="preserve">Interno. Sitio Aseguramiento de la Calidad. </w:t>
      </w:r>
      <w:r w:rsidR="00A47194" w:rsidRPr="00B01EAB">
        <w:rPr>
          <w:sz w:val="20"/>
          <w:szCs w:val="20"/>
          <w:u w:val="single"/>
        </w:rPr>
        <w:t>Sistema de reporte de indicadores de precisión</w:t>
      </w:r>
      <w:r w:rsidRPr="00B01EAB">
        <w:rPr>
          <w:sz w:val="20"/>
          <w:szCs w:val="20"/>
        </w:rPr>
        <w:t>.</w:t>
      </w:r>
    </w:p>
    <w:p w14:paraId="5B28E2E4" w14:textId="77777777" w:rsidR="00DF5B40" w:rsidRPr="00100E12" w:rsidRDefault="00DF5B40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1982686" w14:textId="03DCE0A1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integración de la ficha:</w:t>
      </w:r>
    </w:p>
    <w:p w14:paraId="4E72E405" w14:textId="53A17BB2" w:rsidR="00100E12" w:rsidRDefault="00D8261D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28</w:t>
      </w:r>
      <w:r w:rsidR="00100E12" w:rsidRPr="00100E12">
        <w:rPr>
          <w:sz w:val="20"/>
          <w:szCs w:val="20"/>
        </w:rPr>
        <w:t>/</w:t>
      </w:r>
      <w:r w:rsidR="00AC701E">
        <w:rPr>
          <w:sz w:val="20"/>
          <w:szCs w:val="20"/>
        </w:rPr>
        <w:t>0</w:t>
      </w:r>
      <w:r>
        <w:rPr>
          <w:sz w:val="20"/>
          <w:szCs w:val="20"/>
        </w:rPr>
        <w:t>6</w:t>
      </w:r>
      <w:r w:rsidR="00100E12" w:rsidRPr="00100E12">
        <w:rPr>
          <w:sz w:val="20"/>
          <w:szCs w:val="20"/>
        </w:rPr>
        <w:t>/20</w:t>
      </w:r>
      <w:r w:rsidR="00AC701E">
        <w:rPr>
          <w:sz w:val="20"/>
          <w:szCs w:val="20"/>
        </w:rPr>
        <w:t>21</w:t>
      </w:r>
    </w:p>
    <w:p w14:paraId="683DB07F" w14:textId="77777777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8EC33F4" w14:textId="22C6F57A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7FBD" wp14:editId="360C18F1">
                <wp:simplePos x="0" y="0"/>
                <wp:positionH relativeFrom="margin">
                  <wp:align>left</wp:align>
                </wp:positionH>
                <wp:positionV relativeFrom="paragraph">
                  <wp:posOffset>161373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12.7pt;width:463.3pt;height:28.1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042EB8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F2736C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D9FD3E7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4BCC548E" w:rsidR="0097395E" w:rsidRPr="00464252" w:rsidRDefault="00AC701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Censo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252FF8D2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781BA99A" w:rsidR="0097395E" w:rsidRDefault="00D8261D" w:rsidP="00D8261D">
      <w:pPr>
        <w:pStyle w:val="Prrafodelista"/>
        <w:spacing w:after="0" w:line="240" w:lineRule="auto"/>
        <w:ind w:left="426" w:right="-37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La imputación es un procedimiento que se emplea en algunos pro</w:t>
      </w:r>
      <w:r w:rsidR="00BE40A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debido a la falta de respuesta de unidades de observación y, que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,</w:t>
      </w: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por su importancia relativa en la generación de la información, debe de contarse con dicha información. El objetivo principal de la tasa de imputación a nivel unidad de observación es tener un parámetro que permita medir el porcentaje de observaciones que se imputan. La tasa de imputación se debe calcular y comparar sobre los diferentes dominios de estudio, variables más importantes o sobre agrupaciones que pudieran estar relacionadas con las variables principales de los diferentes pro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="00AC701E" w:rsidRPr="00AC701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1A4F34DF" w14:textId="77777777" w:rsidR="00D11184" w:rsidRPr="0097395E" w:rsidRDefault="00D11184" w:rsidP="00D8261D">
      <w:pPr>
        <w:pStyle w:val="Prrafodelista"/>
        <w:spacing w:after="0" w:line="240" w:lineRule="auto"/>
        <w:ind w:left="426" w:right="-37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767C65A8" w:rsidR="0097395E" w:rsidRPr="0097395E" w:rsidRDefault="00D8261D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Se calculará según la frecuencia de levantamiento de información de cada pro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 de producción</w:t>
      </w:r>
      <w:r w:rsidR="00AC701E" w:rsidRPr="00AC701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71D47DE8" w:rsidR="0097395E" w:rsidRPr="0097395E" w:rsidRDefault="00AC701E" w:rsidP="00A4719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AC701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Esta tasa se reportará y resguardará en el sistema de metadatos a más tardar en 30 días naturales a partir de la publicación del pro</w:t>
      </w:r>
      <w:r w:rsid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 de producción</w:t>
      </w:r>
      <w:r w:rsidR="00D42E7D" w:rsidRPr="00D42E7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6663CC61" w:rsidR="0097395E" w:rsidRPr="0097395E" w:rsidRDefault="00AC701E" w:rsidP="00A4719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AC701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El periodo de referencia del indicador corresponde a aquel definido en la población objeto de estudio del </w:t>
      </w:r>
      <w:r w:rsidR="00BE40A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Pr="00AC701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ceso de </w:t>
      </w:r>
      <w:r w:rsidR="00BE40A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roducción</w:t>
      </w:r>
      <w:r w:rsid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1067E10B" w14:textId="192AE09D" w:rsidR="00D8261D" w:rsidRPr="00D8261D" w:rsidRDefault="00D8261D" w:rsidP="00D8261D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I. Se deberán especificar los siguientes aspectos para cada pro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 de producción</w:t>
      </w: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7C31277A" w14:textId="77777777" w:rsidR="00D8261D" w:rsidRPr="00D8261D" w:rsidRDefault="00D8261D" w:rsidP="00D8261D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i) La unidad de observación sobre la cual se realizará el cálculo de la tasa de imputación.</w:t>
      </w:r>
    </w:p>
    <w:p w14:paraId="04C47447" w14:textId="2B554D7E" w:rsidR="00D8261D" w:rsidRPr="00D8261D" w:rsidRDefault="00D8261D" w:rsidP="00D8261D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proofErr w:type="spellStart"/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ii</w:t>
      </w:r>
      <w:proofErr w:type="spellEnd"/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) Las agrupaciones sobre las cuales se calculará el indicador (principales dominios de estudio o agrupaciones relacionadas con las variables principales del pro</w:t>
      </w:r>
      <w:r w:rsidR="00BE40A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 de producción</w:t>
      </w: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).</w:t>
      </w:r>
    </w:p>
    <w:p w14:paraId="7FAD6C21" w14:textId="77777777" w:rsidR="00D8261D" w:rsidRPr="00D8261D" w:rsidRDefault="00D8261D" w:rsidP="00D8261D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3B1A31DD" w14:textId="77777777" w:rsidR="00D8261D" w:rsidRPr="00D8261D" w:rsidRDefault="00D8261D" w:rsidP="00D8261D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II. Para efectos de esta ficha se entenderá:</w:t>
      </w:r>
    </w:p>
    <w:p w14:paraId="76F7B922" w14:textId="77777777" w:rsidR="00D8261D" w:rsidRPr="00D8261D" w:rsidRDefault="00D8261D" w:rsidP="00D8261D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a. </w:t>
      </w:r>
      <w:r w:rsidRPr="00D826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Dominio de Estudio:</w:t>
      </w: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Subconjunto de la población para el cual se requiere realizar mediciones o representaciones de los conceptos de forma separada.</w:t>
      </w:r>
    </w:p>
    <w:p w14:paraId="188642FE" w14:textId="62739F50" w:rsidR="00D8261D" w:rsidRPr="00D8261D" w:rsidRDefault="00D8261D" w:rsidP="00D8261D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b. </w:t>
      </w:r>
      <w:r w:rsidRPr="00D826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Unidades de observación con información completa:</w:t>
      </w: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</w:t>
      </w: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orresponde a aquellas unidades de observación que, al cierre del operativo de campo en la fase de captación, cuentan con información completa para las variables principales objetivo del levantamiento.</w:t>
      </w:r>
    </w:p>
    <w:p w14:paraId="71C4C4A4" w14:textId="6D69017C" w:rsidR="00D8261D" w:rsidRPr="00D8261D" w:rsidRDefault="00D8261D" w:rsidP="00D8261D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c. </w:t>
      </w:r>
      <w:r w:rsidRPr="00D826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Unidades de observación sin información e incompletas:</w:t>
      </w: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</w:t>
      </w: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orresponde a aquellas unidades de observación que tienen códigos de resultado de instrumentos de captación sin información levantada, o que no cuentan con información completa para las variables principales objetivo del levantamiento.</w:t>
      </w:r>
    </w:p>
    <w:p w14:paraId="24B8B487" w14:textId="77777777" w:rsidR="00D8261D" w:rsidRPr="00D8261D" w:rsidRDefault="00D8261D" w:rsidP="00D8261D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661398A3" w14:textId="5CF256B7" w:rsidR="00F37A79" w:rsidRDefault="00D8261D" w:rsidP="00D8261D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D8261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III. El total de las unidades de observación es el total de unidades con información completa o imputadas.</w:t>
      </w:r>
    </w:p>
    <w:p w14:paraId="37E7EEA5" w14:textId="77777777" w:rsidR="002419AA" w:rsidRDefault="002419AA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Fórmula de cálculo:</w:t>
      </w:r>
    </w:p>
    <w:p w14:paraId="0F6B5836" w14:textId="77777777" w:rsidR="0084581F" w:rsidRDefault="0084581F" w:rsidP="0084581F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27B95A2" w14:textId="30D68531" w:rsidR="00D8261D" w:rsidRDefault="00D8261D" w:rsidP="00D8261D">
      <w:pPr>
        <w:pStyle w:val="Prrafodelista"/>
        <w:ind w:left="360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</w:pPr>
      <w:r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val="es-419" w:eastAsia="es-MX"/>
          <w14:ligatures w14:val="none"/>
        </w:rPr>
        <w:t>Para cada nivel de agregación</w:t>
      </w:r>
      <w:r w:rsidRPr="00D8261D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 xml:space="preserve"> </w:t>
      </w:r>
      <m:oMath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val="es-419" w:eastAsia="es-MX"/>
            <w14:ligatures w14:val="none"/>
          </w:rPr>
          <m:t>g</m:t>
        </m:r>
      </m:oMath>
      <w:r w:rsidRPr="00D8261D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 xml:space="preserve">, </w:t>
      </w:r>
      <m:oMath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val="es-419" w:eastAsia="es-MX"/>
            <w14:ligatures w14:val="none"/>
          </w:rPr>
          <m:t>g=1,…,G</m:t>
        </m:r>
      </m:oMath>
      <w:r w:rsidRPr="00D8261D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 xml:space="preserve">, </w:t>
      </w:r>
      <w:r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val="es-419" w:eastAsia="es-MX"/>
          <w14:ligatures w14:val="none"/>
        </w:rPr>
        <w:t>sea</w:t>
      </w:r>
      <w:r w:rsidRPr="00D8261D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 xml:space="preserve"> </w:t>
      </w:r>
      <m:oMath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val="es-419" w:eastAsia="es-MX"/>
            <w14:ligatures w14:val="none"/>
          </w:rPr>
          <m:t>N</m:t>
        </m:r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vertAlign w:val="subscript"/>
            <w:lang w:val="es-419" w:eastAsia="es-MX"/>
            <w14:ligatures w14:val="none"/>
          </w:rPr>
          <m:t>g</m:t>
        </m:r>
      </m:oMath>
      <w:r w:rsidRPr="00D8261D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 xml:space="preserve"> </w:t>
      </w:r>
      <w:r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val="es-419" w:eastAsia="es-MX"/>
          <w14:ligatures w14:val="none"/>
        </w:rPr>
        <w:t>el número de unidades de observación en donde se intentó recabar la información.</w:t>
      </w:r>
    </w:p>
    <w:p w14:paraId="0B578347" w14:textId="77777777" w:rsidR="00D8261D" w:rsidRPr="00D8261D" w:rsidRDefault="00D8261D" w:rsidP="00D8261D">
      <w:pPr>
        <w:pStyle w:val="Prrafodelista"/>
        <w:ind w:left="360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</w:p>
    <w:p w14:paraId="1A284B5C" w14:textId="77777777" w:rsidR="00D8261D" w:rsidRPr="00A47194" w:rsidRDefault="00D8261D" w:rsidP="00D8261D">
      <w:pPr>
        <w:pStyle w:val="Prrafodelista"/>
        <w:ind w:left="360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val="es-419" w:eastAsia="es-MX"/>
          <w14:ligatures w14:val="none"/>
        </w:rPr>
        <w:t>Sean:</w:t>
      </w:r>
    </w:p>
    <w:p w14:paraId="16DFC44B" w14:textId="7D8B1D66" w:rsidR="00D8261D" w:rsidRPr="00D8261D" w:rsidRDefault="00D8261D" w:rsidP="00A47194">
      <w:pPr>
        <w:pStyle w:val="Prrafodelista"/>
        <w:ind w:left="360"/>
        <w:jc w:val="both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val="es-419" w:eastAsia="es-MX"/>
            <w14:ligatures w14:val="none"/>
          </w:rPr>
          <m:t>N</m:t>
        </m:r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vertAlign w:val="subscript"/>
            <w:lang w:val="es-419" w:eastAsia="es-MX"/>
            <w14:ligatures w14:val="none"/>
          </w:rPr>
          <m:t>g1</m:t>
        </m:r>
      </m:oMath>
      <w:r w:rsidRPr="00D8261D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 xml:space="preserve">: </w:t>
      </w:r>
      <w:r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val="es-419" w:eastAsia="es-MX"/>
          <w14:ligatures w14:val="none"/>
        </w:rPr>
        <w:t>Total de unidades de observación en donde toda la información es completa para las variables principales objetivo del levantamiento,</w:t>
      </w:r>
    </w:p>
    <w:p w14:paraId="217A29BF" w14:textId="7BB14251" w:rsidR="00D8261D" w:rsidRPr="00A47194" w:rsidRDefault="00000000" w:rsidP="00A47194">
      <w:pPr>
        <w:pStyle w:val="Prrafodelista"/>
        <w:ind w:left="36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Calibri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val="es-419" w:eastAsia="es-MX"/>
                <w14:ligatures w14:val="none"/>
              </w:rPr>
              <m:t>N</m:t>
            </m:r>
          </m:e>
          <m:sub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g2</m:t>
            </m:r>
          </m:sub>
        </m:sSub>
      </m:oMath>
      <w:r w:rsidR="00D8261D" w:rsidRPr="00D8261D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 xml:space="preserve">: </w:t>
      </w:r>
      <w:r w:rsidR="00D8261D"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val="es-419" w:eastAsia="es-MX"/>
          <w14:ligatures w14:val="none"/>
        </w:rPr>
        <w:t>Total unidades de observación en donde no se obtuvo información alguna, o</w:t>
      </w:r>
      <w:r w:rsidR="00D8261D"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que no cuentan con información completa para las variables principales objetivo del levantamiento.</w:t>
      </w:r>
    </w:p>
    <w:p w14:paraId="66A03636" w14:textId="77777777" w:rsidR="00D8261D" w:rsidRPr="00D8261D" w:rsidRDefault="00D8261D" w:rsidP="00D8261D">
      <w:pPr>
        <w:pStyle w:val="Prrafodelista"/>
        <w:ind w:left="360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w:r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val="es-419" w:eastAsia="es-MX"/>
          <w14:ligatures w14:val="none"/>
        </w:rPr>
        <w:t>Donde</w:t>
      </w:r>
      <w:r w:rsidRPr="00D8261D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>:</w:t>
      </w:r>
    </w:p>
    <w:p w14:paraId="2B4CADCE" w14:textId="4E7715CD" w:rsidR="00D8261D" w:rsidRPr="00D8261D" w:rsidRDefault="00D8261D" w:rsidP="00660C26">
      <w:pPr>
        <w:pStyle w:val="Prrafodelista"/>
        <w:ind w:left="709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val="es-419" w:eastAsia="es-MX"/>
            <w14:ligatures w14:val="none"/>
          </w:rPr>
          <m:t>N</m:t>
        </m:r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vertAlign w:val="subscript"/>
            <w:lang w:val="es-419" w:eastAsia="es-MX"/>
            <w14:ligatures w14:val="none"/>
          </w:rPr>
          <m:t>g</m:t>
        </m:r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vertAlign w:val="subscript"/>
            <w:lang w:eastAsia="es-MX"/>
            <w14:ligatures w14:val="none"/>
          </w:rPr>
          <m:t>2</m:t>
        </m:r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vertAlign w:val="subscript"/>
            <w:lang w:val="es-419" w:eastAsia="es-MX"/>
            <w14:ligatures w14:val="none"/>
          </w:rPr>
          <m:t>'</m:t>
        </m:r>
      </m:oMath>
      <w:r w:rsidRPr="00D8261D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 xml:space="preserve"> : </w:t>
      </w:r>
      <w:r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val="es-419" w:eastAsia="es-MX"/>
          <w14:ligatures w14:val="none"/>
        </w:rPr>
        <w:t>Total de unidades sin información e incompletas, y que fueron imputadas,</w:t>
      </w:r>
    </w:p>
    <w:p w14:paraId="37B478CD" w14:textId="3DE0C74A" w:rsidR="00D8261D" w:rsidRPr="00A47194" w:rsidRDefault="00D8261D" w:rsidP="00660C26">
      <w:pPr>
        <w:pStyle w:val="Prrafodelista"/>
        <w:ind w:left="709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val="es-419" w:eastAsia="es-MX"/>
            <w14:ligatures w14:val="none"/>
          </w:rPr>
          <m:t>N</m:t>
        </m:r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vertAlign w:val="subscript"/>
            <w:lang w:val="es-419" w:eastAsia="es-MX"/>
            <w14:ligatures w14:val="none"/>
          </w:rPr>
          <m:t>g</m:t>
        </m:r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vertAlign w:val="subscript"/>
            <w:lang w:eastAsia="es-MX"/>
            <w14:ligatures w14:val="none"/>
          </w:rPr>
          <m:t>2</m:t>
        </m:r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vertAlign w:val="subscript"/>
            <w:lang w:val="es-419" w:eastAsia="es-MX"/>
            <w14:ligatures w14:val="none"/>
          </w:rPr>
          <m:t>''</m:t>
        </m:r>
      </m:oMath>
      <w:r w:rsidRPr="00D8261D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 xml:space="preserve"> : </w:t>
      </w:r>
      <w:r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val="es-419" w:eastAsia="es-MX"/>
          <w14:ligatures w14:val="none"/>
        </w:rPr>
        <w:t>Total de unidades sin información e incompletas, y que no fueron imputadas,</w:t>
      </w:r>
    </w:p>
    <w:p w14:paraId="218B1675" w14:textId="0B23A237" w:rsidR="00D8261D" w:rsidRPr="00D8261D" w:rsidRDefault="00000000" w:rsidP="00D8261D">
      <w:pPr>
        <w:pStyle w:val="Prrafodelista"/>
        <w:ind w:left="360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Calibri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N</m:t>
            </m:r>
          </m:e>
          <m:sub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g2</m:t>
            </m:r>
          </m:sub>
        </m:sSub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Calibri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N</m:t>
            </m:r>
          </m:e>
          <m:sub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g2´</m:t>
            </m:r>
          </m:sub>
        </m:sSub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+</m:t>
        </m:r>
        <m:sSub>
          <m:sSubPr>
            <m:ctrlPr>
              <w:rPr>
                <w:rFonts w:ascii="Cambria Math" w:eastAsia="Times New Roman" w:hAnsi="Cambria Math" w:cs="Calibri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N</m:t>
            </m:r>
          </m:e>
          <m:sub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g2´´</m:t>
            </m:r>
          </m:sub>
        </m:sSub>
      </m:oMath>
      <w:r w:rsidR="00D8261D" w:rsidRPr="00D8261D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FE95301" w14:textId="0224E5EC" w:rsidR="00D8261D" w:rsidRPr="00D8261D" w:rsidRDefault="00000000" w:rsidP="00D8261D">
      <w:pPr>
        <w:pStyle w:val="Prrafodelista"/>
        <w:ind w:left="360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Calibri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val="es-419" w:eastAsia="es-MX"/>
                <w14:ligatures w14:val="none"/>
              </w:rPr>
              <m:t>N</m:t>
            </m:r>
          </m:e>
          <m:sub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g</m:t>
            </m:r>
          </m:sub>
        </m:sSub>
      </m:oMath>
      <w:r w:rsidR="00D8261D" w:rsidRPr="00D8261D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 xml:space="preserve">: </w:t>
      </w:r>
      <w:r w:rsidR="00D8261D"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val="es-419" w:eastAsia="es-MX"/>
          <w14:ligatures w14:val="none"/>
        </w:rPr>
        <w:t>Todas las unidades de observación en donde se intentó recabar la información</w:t>
      </w:r>
      <w:r w:rsidR="00D8261D" w:rsidRPr="00D8261D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 xml:space="preserve"> </w:t>
      </w:r>
    </w:p>
    <w:p w14:paraId="652238A9" w14:textId="5D928A5F" w:rsidR="00D8261D" w:rsidRPr="00D8261D" w:rsidRDefault="00D8261D" w:rsidP="00D8261D">
      <w:pPr>
        <w:pStyle w:val="Prrafodelista"/>
        <w:ind w:left="360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val="es-419" w:eastAsia="es-MX"/>
            <w14:ligatures w14:val="none"/>
          </w:rPr>
          <m:t>N</m:t>
        </m:r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vertAlign w:val="subscript"/>
            <w:lang w:val="es-419" w:eastAsia="es-MX"/>
            <w14:ligatures w14:val="none"/>
          </w:rPr>
          <m:t>g</m:t>
        </m:r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val="es-419" w:eastAsia="es-MX"/>
            <w14:ligatures w14:val="none"/>
          </w:rPr>
          <m:t> = Ng</m:t>
        </m:r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vertAlign w:val="subscript"/>
            <w:lang w:val="es-419" w:eastAsia="es-MX"/>
            <w14:ligatures w14:val="none"/>
          </w:rPr>
          <m:t>1</m:t>
        </m:r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+Ng</m:t>
        </m:r>
        <m:sSup>
          <m:sSupPr>
            <m:ctrlPr>
              <w:rPr>
                <w:rFonts w:ascii="Cambria Math" w:eastAsia="Times New Roman" w:hAnsi="Cambria Math" w:cs="Calibri"/>
                <w:i/>
                <w:iCs/>
                <w:color w:val="000000"/>
                <w:kern w:val="0"/>
                <w:sz w:val="20"/>
                <w:szCs w:val="20"/>
                <w:vertAlign w:val="subscript"/>
                <w:lang w:val="es-419" w:eastAsia="es-MX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vertAlign w:val="subscript"/>
                <w:lang w:val="es-419" w:eastAsia="es-MX"/>
                <w14:ligatures w14:val="none"/>
              </w:rPr>
              <m:t>2</m:t>
            </m:r>
          </m:e>
          <m:sup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vertAlign w:val="subscript"/>
                <w:lang w:val="es-419" w:eastAsia="es-MX"/>
                <w14:ligatures w14:val="none"/>
              </w:rPr>
              <m:t>'</m:t>
            </m:r>
          </m:sup>
        </m:sSup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+Ng</m:t>
        </m:r>
        <m:sSup>
          <m:sSupPr>
            <m:ctrlPr>
              <w:rPr>
                <w:rFonts w:ascii="Cambria Math" w:eastAsia="Times New Roman" w:hAnsi="Cambria Math" w:cs="Calibri"/>
                <w:i/>
                <w:iCs/>
                <w:color w:val="000000"/>
                <w:kern w:val="0"/>
                <w:sz w:val="20"/>
                <w:szCs w:val="20"/>
                <w:vertAlign w:val="subscript"/>
                <w:lang w:val="es-419" w:eastAsia="es-MX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vertAlign w:val="subscript"/>
                <w:lang w:val="es-419" w:eastAsia="es-MX"/>
                <w14:ligatures w14:val="none"/>
              </w:rPr>
              <m:t>2</m:t>
            </m:r>
          </m:e>
          <m:sup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vertAlign w:val="subscript"/>
                <w:lang w:val="es-419" w:eastAsia="es-MX"/>
                <w14:ligatures w14:val="none"/>
              </w:rPr>
              <m:t>''</m:t>
            </m:r>
          </m:sup>
        </m:sSup>
      </m:oMath>
      <w:r w:rsidRPr="00D8261D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>.</w:t>
      </w:r>
    </w:p>
    <w:p w14:paraId="6CE4896D" w14:textId="0D7C10E8" w:rsidR="00D8261D" w:rsidRDefault="00D8261D" w:rsidP="00D8261D">
      <w:pPr>
        <w:pStyle w:val="Prrafodelista"/>
        <w:ind w:left="360"/>
        <w:rPr>
          <w:rFonts w:ascii="Calibri" w:eastAsia="Times New Roman" w:hAnsi="Calibri" w:cs="Calibri"/>
          <w:color w:val="000000"/>
          <w:kern w:val="0"/>
          <w:sz w:val="20"/>
          <w:szCs w:val="20"/>
          <w:lang w:val="es-419" w:eastAsia="es-MX"/>
          <w14:ligatures w14:val="none"/>
        </w:rPr>
      </w:pPr>
      <w:r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val="es-419" w:eastAsia="es-MX"/>
          <w14:ligatures w14:val="none"/>
        </w:rPr>
        <w:t xml:space="preserve">La tasa de imputación para el nivel de agregación </w:t>
      </w:r>
      <m:oMath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val="es-419" w:eastAsia="es-MX"/>
            <w14:ligatures w14:val="none"/>
          </w:rPr>
          <m:t>g</m:t>
        </m:r>
      </m:oMath>
      <w:r w:rsidRPr="00E53EFA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es-419" w:eastAsia="es-MX"/>
          <w14:ligatures w14:val="none"/>
        </w:rPr>
        <w:t xml:space="preserve"> </w:t>
      </w:r>
      <w:r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val="es-419" w:eastAsia="es-MX"/>
          <w14:ligatures w14:val="none"/>
        </w:rPr>
        <w:t>se define como:</w:t>
      </w:r>
    </w:p>
    <w:p w14:paraId="54D1E4CA" w14:textId="77777777" w:rsidR="00A47194" w:rsidRPr="00A47194" w:rsidRDefault="00A47194" w:rsidP="00D8261D">
      <w:pPr>
        <w:pStyle w:val="Prrafodelista"/>
        <w:ind w:left="360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1679193B" w14:textId="09F3FF3C" w:rsidR="00D8261D" w:rsidRPr="00D8261D" w:rsidRDefault="00000000" w:rsidP="00D8261D">
      <w:pPr>
        <w:pStyle w:val="Prrafodelista"/>
        <w:ind w:left="360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eastAsia="Times New Roman" w:hAnsi="Cambria Math" w:cs="Calibri"/>
                  <w:i/>
                  <w:iCs/>
                  <w:color w:val="000000"/>
                  <w:kern w:val="0"/>
                  <w:sz w:val="20"/>
                  <w:szCs w:val="20"/>
                  <w:lang w:val="es-419" w:eastAsia="es-MX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Calibri"/>
                  <w:color w:val="000000"/>
                  <w:kern w:val="0"/>
                  <w:sz w:val="20"/>
                  <w:szCs w:val="20"/>
                  <w:lang w:eastAsia="es-MX"/>
                  <w14:ligatures w14:val="none"/>
                </w:rPr>
                <m:t>TI</m:t>
              </m:r>
            </m:e>
            <m:sub>
              <m:r>
                <w:rPr>
                  <w:rFonts w:ascii="Cambria Math" w:eastAsia="Times New Roman" w:hAnsi="Cambria Math" w:cs="Calibri"/>
                  <w:color w:val="000000"/>
                  <w:kern w:val="0"/>
                  <w:sz w:val="20"/>
                  <w:szCs w:val="20"/>
                  <w:lang w:eastAsia="es-MX"/>
                  <w14:ligatures w14:val="none"/>
                </w:rPr>
                <m:t>g</m:t>
              </m:r>
            </m:sub>
          </m:sSub>
          <m:r>
            <w:rPr>
              <w:rFonts w:ascii="Cambria Math" w:eastAsia="Times New Roman" w:hAnsi="Cambria Math" w:cs="Calibri"/>
              <w:color w:val="000000"/>
              <w:kern w:val="0"/>
              <w:sz w:val="20"/>
              <w:szCs w:val="20"/>
              <w:lang w:eastAsia="es-MX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Calibri"/>
                  <w:i/>
                  <w:iCs/>
                  <w:color w:val="000000"/>
                  <w:kern w:val="0"/>
                  <w:sz w:val="20"/>
                  <w:szCs w:val="20"/>
                  <w:lang w:eastAsia="es-MX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iCs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m:t>g2</m:t>
                  </m:r>
                </m:sub>
              </m:sSub>
              <m:r>
                <w:rPr>
                  <w:rFonts w:ascii="Cambria Math" w:eastAsia="Times New Roman" w:hAnsi="Cambria Math" w:cs="Calibri"/>
                  <w:color w:val="000000"/>
                  <w:kern w:val="0"/>
                  <w:sz w:val="20"/>
                  <w:szCs w:val="20"/>
                  <w:lang w:eastAsia="es-MX"/>
                  <w14:ligatures w14:val="none"/>
                </w:rPr>
                <m:t>´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iCs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m:t>g1</m:t>
                  </m:r>
                </m:sub>
              </m:sSub>
              <m:r>
                <w:rPr>
                  <w:rFonts w:ascii="Cambria Math" w:eastAsia="Times New Roman" w:hAnsi="Cambria Math" w:cs="Calibri"/>
                  <w:color w:val="000000"/>
                  <w:kern w:val="0"/>
                  <w:sz w:val="20"/>
                  <w:szCs w:val="20"/>
                  <w:lang w:eastAsia="es-MX"/>
                  <w14:ligatures w14:val="none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iCs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m:t>g2</m:t>
                  </m:r>
                </m:sub>
              </m:sSub>
              <m:r>
                <w:rPr>
                  <w:rFonts w:ascii="Cambria Math" w:eastAsia="Times New Roman" w:hAnsi="Cambria Math" w:cs="Calibri"/>
                  <w:color w:val="000000"/>
                  <w:kern w:val="0"/>
                  <w:sz w:val="20"/>
                  <w:szCs w:val="20"/>
                  <w:lang w:eastAsia="es-MX"/>
                  <w14:ligatures w14:val="none"/>
                </w:rPr>
                <m:t>´</m:t>
              </m:r>
            </m:den>
          </m:f>
          <m:r>
            <w:rPr>
              <w:rFonts w:ascii="Cambria Math" w:eastAsia="Times New Roman" w:hAnsi="Cambria Math" w:cs="Calibri"/>
              <w:color w:val="000000"/>
              <w:kern w:val="0"/>
              <w:sz w:val="20"/>
              <w:szCs w:val="20"/>
              <w:lang w:eastAsia="es-MX"/>
              <w14:ligatures w14:val="none"/>
            </w:rPr>
            <m:t> ×100</m:t>
          </m:r>
        </m:oMath>
      </m:oMathPara>
    </w:p>
    <w:p w14:paraId="37E7E03D" w14:textId="6480F673" w:rsidR="0084581F" w:rsidRPr="0084581F" w:rsidRDefault="0084581F" w:rsidP="0084581F">
      <w:pPr>
        <w:pStyle w:val="Prrafodelista"/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0377A75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5CB3FB8B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</w:t>
      </w:r>
    </w:p>
    <w:p w14:paraId="64A39F98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Fuentes de información del indicador:</w:t>
      </w:r>
    </w:p>
    <w:p w14:paraId="194F7B42" w14:textId="66360F4E" w:rsidR="00705EC1" w:rsidRPr="00DE2869" w:rsidRDefault="00660C26" w:rsidP="0084581F">
      <w:pPr>
        <w:ind w:left="426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660C26">
        <w:rPr>
          <w:rFonts w:ascii="Calibri" w:eastAsia="Times New Roman" w:hAnsi="Calibri" w:cs="Calibri"/>
          <w:sz w:val="20"/>
          <w:szCs w:val="20"/>
        </w:rPr>
        <w:t>Proviene de la información recabada en el pro</w:t>
      </w:r>
      <w:r>
        <w:rPr>
          <w:rFonts w:ascii="Calibri" w:eastAsia="Times New Roman" w:hAnsi="Calibri" w:cs="Calibri"/>
          <w:sz w:val="20"/>
          <w:szCs w:val="20"/>
        </w:rPr>
        <w:t>ceso de producción</w:t>
      </w:r>
      <w:r w:rsidR="0084581F">
        <w:rPr>
          <w:rFonts w:ascii="Calibri" w:eastAsia="Times New Roman" w:hAnsi="Calibri" w:cs="Calibri"/>
          <w:sz w:val="20"/>
          <w:szCs w:val="20"/>
        </w:rPr>
        <w:t>.</w:t>
      </w: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12A94F44" w14:textId="0981E9A4" w:rsidR="00294AE7" w:rsidRDefault="0084581F" w:rsidP="00A4719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84581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Las desagregaciones o agrupaciones sobre las cuales se calculará el indicador se definirán para cada pro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 de producción en</w:t>
      </w:r>
      <w:r w:rsidRPr="0084581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particular, pero al menos deben estar presentes los principales dominios de estudio.</w:t>
      </w:r>
    </w:p>
    <w:p w14:paraId="5E1B39CB" w14:textId="77777777" w:rsidR="00DE2869" w:rsidRDefault="00DE2869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6D1953F9" w14:textId="11DC2631" w:rsidR="0084581F" w:rsidRDefault="00660C26" w:rsidP="0084581F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La tasa de imputación a nivel unidad de observación es el cociente resultante de dividir el número de unidades de observación sin información o con información incompleta y que fueron imputadas, entre el total de las unidades de observación donde se tiene información completa o imputada, multiplicado por 100</w:t>
      </w:r>
      <w:r w:rsidR="0084581F" w:rsidRPr="00A4719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C931ED9" w14:textId="77777777" w:rsidR="0084581F" w:rsidRDefault="0084581F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7CF22AE0" w14:textId="77777777" w:rsidR="00660C26" w:rsidRPr="00660C26" w:rsidRDefault="00660C26" w:rsidP="00A4719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660C2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El indicador se deberá publicar junto con los siguientes aspectos:</w:t>
      </w:r>
    </w:p>
    <w:p w14:paraId="7163CACF" w14:textId="77777777" w:rsidR="00660C26" w:rsidRPr="00660C26" w:rsidRDefault="00660C26" w:rsidP="00A4719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660C2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i) Las unidades de observación sobre las cuales se realizó el cálculo de la tasa de imputación.</w:t>
      </w:r>
    </w:p>
    <w:p w14:paraId="0CB2097B" w14:textId="4343209F" w:rsidR="00DE2869" w:rsidRDefault="00660C26" w:rsidP="00A4719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proofErr w:type="spellStart"/>
      <w:r w:rsidRPr="00660C2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ii</w:t>
      </w:r>
      <w:proofErr w:type="spellEnd"/>
      <w:r w:rsidRPr="00660C2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) Las desagregaciones o agrupaciones sobre las cuales se calculó el indicador (principales dominios de estudio o agrupaciones relacionadas con las variables principales del pro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 de producción</w:t>
      </w:r>
      <w:r w:rsidRPr="00660C2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).</w:t>
      </w:r>
    </w:p>
    <w:p w14:paraId="3817096B" w14:textId="77777777" w:rsidR="00660C26" w:rsidRDefault="00660C26" w:rsidP="00660C26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574DD53A" w14:textId="22D61FD2" w:rsidR="00100E12" w:rsidRDefault="00660C26" w:rsidP="009510D8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660C2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No existe un valor de referencia o estándar de calidad único para este indicador.</w:t>
      </w:r>
    </w:p>
    <w:p w14:paraId="53D9B5D3" w14:textId="77777777" w:rsidR="009510D8" w:rsidRDefault="009510D8" w:rsidP="009510D8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sectPr w:rsidR="009510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024"/>
    <w:multiLevelType w:val="hybridMultilevel"/>
    <w:tmpl w:val="2558FBC8"/>
    <w:lvl w:ilvl="0" w:tplc="ABE03F4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0800AD7"/>
    <w:multiLevelType w:val="hybridMultilevel"/>
    <w:tmpl w:val="3018641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175192"/>
    <w:multiLevelType w:val="hybridMultilevel"/>
    <w:tmpl w:val="0E7ADAFA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D37799C"/>
    <w:multiLevelType w:val="hybridMultilevel"/>
    <w:tmpl w:val="5AFA8C8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7"/>
  </w:num>
  <w:num w:numId="2" w16cid:durableId="2067950652">
    <w:abstractNumId w:val="11"/>
  </w:num>
  <w:num w:numId="3" w16cid:durableId="222571677">
    <w:abstractNumId w:val="3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10"/>
  </w:num>
  <w:num w:numId="7" w16cid:durableId="1373924067">
    <w:abstractNumId w:val="8"/>
  </w:num>
  <w:num w:numId="8" w16cid:durableId="435561208">
    <w:abstractNumId w:val="9"/>
  </w:num>
  <w:num w:numId="9" w16cid:durableId="1724983717">
    <w:abstractNumId w:val="6"/>
  </w:num>
  <w:num w:numId="10" w16cid:durableId="76486300">
    <w:abstractNumId w:val="4"/>
  </w:num>
  <w:num w:numId="11" w16cid:durableId="672757559">
    <w:abstractNumId w:val="5"/>
  </w:num>
  <w:num w:numId="12" w16cid:durableId="379941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63F79"/>
    <w:rsid w:val="00100E12"/>
    <w:rsid w:val="00125E0E"/>
    <w:rsid w:val="00176260"/>
    <w:rsid w:val="00186E2E"/>
    <w:rsid w:val="001B478D"/>
    <w:rsid w:val="00206D7D"/>
    <w:rsid w:val="002138D4"/>
    <w:rsid w:val="00220DB0"/>
    <w:rsid w:val="00235D6E"/>
    <w:rsid w:val="002419AA"/>
    <w:rsid w:val="00294AE7"/>
    <w:rsid w:val="002F559F"/>
    <w:rsid w:val="0033224A"/>
    <w:rsid w:val="00335E4E"/>
    <w:rsid w:val="003569FC"/>
    <w:rsid w:val="00403675"/>
    <w:rsid w:val="0042050E"/>
    <w:rsid w:val="00444B20"/>
    <w:rsid w:val="00464252"/>
    <w:rsid w:val="004836B2"/>
    <w:rsid w:val="004A0D61"/>
    <w:rsid w:val="004B32E5"/>
    <w:rsid w:val="004D2E5F"/>
    <w:rsid w:val="005679BC"/>
    <w:rsid w:val="005D5F63"/>
    <w:rsid w:val="0061336D"/>
    <w:rsid w:val="00624EA3"/>
    <w:rsid w:val="00634AA4"/>
    <w:rsid w:val="00660C26"/>
    <w:rsid w:val="00690384"/>
    <w:rsid w:val="006B2E16"/>
    <w:rsid w:val="00705EC1"/>
    <w:rsid w:val="00711025"/>
    <w:rsid w:val="00723301"/>
    <w:rsid w:val="00737F95"/>
    <w:rsid w:val="0077571D"/>
    <w:rsid w:val="007B774C"/>
    <w:rsid w:val="007D2115"/>
    <w:rsid w:val="0084581F"/>
    <w:rsid w:val="00872EB8"/>
    <w:rsid w:val="00897961"/>
    <w:rsid w:val="008C470B"/>
    <w:rsid w:val="008E0A78"/>
    <w:rsid w:val="00947989"/>
    <w:rsid w:val="009510D8"/>
    <w:rsid w:val="009546E7"/>
    <w:rsid w:val="0097395E"/>
    <w:rsid w:val="00984084"/>
    <w:rsid w:val="009935FA"/>
    <w:rsid w:val="009F0312"/>
    <w:rsid w:val="00A47194"/>
    <w:rsid w:val="00A50F8D"/>
    <w:rsid w:val="00AC701E"/>
    <w:rsid w:val="00B01EAB"/>
    <w:rsid w:val="00B44582"/>
    <w:rsid w:val="00BE40A2"/>
    <w:rsid w:val="00BF4A5C"/>
    <w:rsid w:val="00C26DF7"/>
    <w:rsid w:val="00C41186"/>
    <w:rsid w:val="00CF0E84"/>
    <w:rsid w:val="00D11184"/>
    <w:rsid w:val="00D274BD"/>
    <w:rsid w:val="00D42E7D"/>
    <w:rsid w:val="00D468DB"/>
    <w:rsid w:val="00D8261D"/>
    <w:rsid w:val="00DB70C3"/>
    <w:rsid w:val="00DE2869"/>
    <w:rsid w:val="00DF5B40"/>
    <w:rsid w:val="00E53EFA"/>
    <w:rsid w:val="00E60F03"/>
    <w:rsid w:val="00EC4770"/>
    <w:rsid w:val="00EE62C9"/>
    <w:rsid w:val="00EF43FC"/>
    <w:rsid w:val="00F37A79"/>
    <w:rsid w:val="00F7216B"/>
    <w:rsid w:val="00FB190B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stats.un.org/unsd/publication/SeriesF/seriesf_82rev2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swiki.unece.org/download/attachments/185794796/Quality%20Indicators%20for%20the%20GSBPM%20-%20For%20Statistics%20derived%20from%20Surveys%20and%20Administrative%20Data%20Sources_Final.pdf?api=v2" TargetMode="External"/><Relationship Id="rId5" Type="http://schemas.openxmlformats.org/officeDocument/2006/relationships/hyperlink" Target="http://ec.europa.eu/eurostat/documents/3859598/6651706/KS-GQ-15-003-EN-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2</cp:revision>
  <dcterms:created xsi:type="dcterms:W3CDTF">2025-10-09T17:21:00Z</dcterms:created>
  <dcterms:modified xsi:type="dcterms:W3CDTF">2025-10-09T17:21:00Z</dcterms:modified>
</cp:coreProperties>
</file>